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3495" w14:textId="77777777" w:rsidR="002F29C6" w:rsidRPr="003A1655" w:rsidRDefault="002F29C6" w:rsidP="001600C8">
      <w:pPr>
        <w:spacing w:after="0"/>
        <w:jc w:val="center"/>
        <w:rPr>
          <w:rFonts w:cstheme="minorHAnsi"/>
          <w:sz w:val="32"/>
          <w:szCs w:val="32"/>
        </w:rPr>
      </w:pPr>
      <w:r w:rsidRPr="003A1655">
        <w:rPr>
          <w:rFonts w:cstheme="minorHAnsi"/>
          <w:noProof/>
        </w:rPr>
        <w:drawing>
          <wp:inline distT="0" distB="0" distL="0" distR="0" wp14:anchorId="6FE98E3B" wp14:editId="6E0253C8">
            <wp:extent cx="958850" cy="60695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ESV 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99" cy="622242"/>
                    </a:xfrm>
                    <a:prstGeom prst="rect">
                      <a:avLst/>
                    </a:prstGeom>
                  </pic:spPr>
                </pic:pic>
              </a:graphicData>
            </a:graphic>
          </wp:inline>
        </w:drawing>
      </w:r>
    </w:p>
    <w:p w14:paraId="7C732452" w14:textId="4F2775BA" w:rsidR="002B5715" w:rsidRPr="003A1655" w:rsidRDefault="001F64EE" w:rsidP="001600C8">
      <w:pPr>
        <w:spacing w:after="0"/>
        <w:jc w:val="center"/>
        <w:rPr>
          <w:rFonts w:cstheme="minorHAnsi"/>
          <w:sz w:val="32"/>
          <w:szCs w:val="32"/>
        </w:rPr>
      </w:pPr>
      <w:r>
        <w:rPr>
          <w:rFonts w:cstheme="minorHAnsi"/>
          <w:sz w:val="32"/>
          <w:szCs w:val="32"/>
        </w:rPr>
        <w:t>9</w:t>
      </w:r>
      <w:r w:rsidRPr="001F64EE">
        <w:rPr>
          <w:rFonts w:cstheme="minorHAnsi"/>
          <w:sz w:val="32"/>
          <w:szCs w:val="32"/>
          <w:vertAlign w:val="superscript"/>
        </w:rPr>
        <w:t>th</w:t>
      </w:r>
      <w:r>
        <w:rPr>
          <w:rFonts w:cstheme="minorHAnsi"/>
          <w:sz w:val="32"/>
          <w:szCs w:val="32"/>
        </w:rPr>
        <w:t xml:space="preserve"> Annual</w:t>
      </w:r>
      <w:r w:rsidR="001600C8" w:rsidRPr="003A1655">
        <w:rPr>
          <w:rFonts w:cstheme="minorHAnsi"/>
          <w:sz w:val="32"/>
          <w:szCs w:val="32"/>
        </w:rPr>
        <w:t xml:space="preserve"> Advocacy Day to End Sexual Violence</w:t>
      </w:r>
    </w:p>
    <w:p w14:paraId="41E9F6FE" w14:textId="653D15FD" w:rsidR="002F29C6" w:rsidRPr="003A1655" w:rsidRDefault="002F29C6" w:rsidP="00642619">
      <w:pPr>
        <w:spacing w:after="0"/>
        <w:jc w:val="center"/>
        <w:rPr>
          <w:rFonts w:cstheme="minorHAnsi"/>
          <w:color w:val="009999"/>
          <w:sz w:val="28"/>
          <w:szCs w:val="28"/>
        </w:rPr>
      </w:pPr>
      <w:r w:rsidRPr="003A1655">
        <w:rPr>
          <w:rFonts w:cstheme="minorHAnsi"/>
          <w:noProof/>
        </w:rPr>
        <w:drawing>
          <wp:inline distT="0" distB="0" distL="0" distR="0" wp14:anchorId="6A5524A7" wp14:editId="7237E445">
            <wp:extent cx="1959610" cy="9046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2261" cy="924377"/>
                    </a:xfrm>
                    <a:prstGeom prst="rect">
                      <a:avLst/>
                    </a:prstGeom>
                  </pic:spPr>
                </pic:pic>
              </a:graphicData>
            </a:graphic>
          </wp:inline>
        </w:drawing>
      </w:r>
    </w:p>
    <w:p w14:paraId="27B5455E" w14:textId="3020E7DF" w:rsidR="00875E21" w:rsidRPr="002E4DC2" w:rsidRDefault="008607AD" w:rsidP="00642619">
      <w:pPr>
        <w:spacing w:after="0"/>
        <w:jc w:val="center"/>
        <w:rPr>
          <w:rFonts w:cstheme="minorHAnsi"/>
          <w:color w:val="FF0000"/>
          <w:sz w:val="28"/>
          <w:szCs w:val="28"/>
        </w:rPr>
      </w:pPr>
      <w:r w:rsidRPr="008607AD">
        <w:rPr>
          <w:rFonts w:cstheme="minorHAnsi"/>
          <w:color w:val="FF0000"/>
          <w:sz w:val="28"/>
          <w:szCs w:val="28"/>
        </w:rPr>
        <w:t>Tip Sheet on Policy Conversations</w:t>
      </w:r>
    </w:p>
    <w:p w14:paraId="17C80081" w14:textId="77777777" w:rsidR="002E4DC2" w:rsidRPr="00875E21" w:rsidRDefault="002E4DC2" w:rsidP="002E4DC2">
      <w:pPr>
        <w:pStyle w:val="ListParagraph"/>
        <w:numPr>
          <w:ilvl w:val="0"/>
          <w:numId w:val="21"/>
        </w:numPr>
        <w:spacing w:after="0" w:line="240" w:lineRule="auto"/>
        <w:jc w:val="both"/>
        <w:rPr>
          <w:rFonts w:cstheme="minorHAnsi"/>
        </w:rPr>
      </w:pPr>
      <w:r w:rsidRPr="00875E21">
        <w:rPr>
          <w:rFonts w:cstheme="minorHAnsi"/>
          <w:b/>
        </w:rPr>
        <w:t>Know the Lawmaker’s Background</w:t>
      </w:r>
      <w:r w:rsidRPr="00875E21">
        <w:rPr>
          <w:rFonts w:cstheme="minorHAnsi"/>
        </w:rPr>
        <w:t>:</w:t>
      </w:r>
    </w:p>
    <w:p w14:paraId="700F9F53" w14:textId="77777777" w:rsidR="00875E21" w:rsidRDefault="002E4DC2" w:rsidP="00875E21">
      <w:pPr>
        <w:spacing w:after="0" w:line="240" w:lineRule="auto"/>
        <w:ind w:left="360"/>
        <w:jc w:val="both"/>
        <w:rPr>
          <w:rFonts w:cstheme="minorHAnsi"/>
        </w:rPr>
      </w:pPr>
      <w:r w:rsidRPr="00875E21">
        <w:rPr>
          <w:rFonts w:cstheme="minorHAnsi"/>
        </w:rPr>
        <w:t>Ohio lawmakers bring an array of experiences to the Statehouse floor. Many are current or former</w:t>
      </w:r>
    </w:p>
    <w:p w14:paraId="2919C7B9" w14:textId="4E471D93" w:rsidR="002E4DC2" w:rsidRPr="00875E21" w:rsidRDefault="002E4DC2" w:rsidP="005858EF">
      <w:pPr>
        <w:spacing w:after="0" w:line="240" w:lineRule="auto"/>
        <w:jc w:val="both"/>
        <w:rPr>
          <w:rFonts w:cstheme="minorHAnsi"/>
        </w:rPr>
      </w:pPr>
      <w:r w:rsidRPr="00875E21">
        <w:rPr>
          <w:rFonts w:cstheme="minorHAnsi"/>
        </w:rPr>
        <w:t xml:space="preserve">teachers, farmers, lawyers, nurses and doctors, finance professionals, judges, and small business owners. It is extremely helpful to review the lawmaker’s biography </w:t>
      </w:r>
      <w:r w:rsidR="00875E21" w:rsidRPr="00875E21">
        <w:rPr>
          <w:rFonts w:cstheme="minorHAnsi"/>
        </w:rPr>
        <w:t xml:space="preserve">ahead of the meeting to anticipate the lens through which the lawmaker will analyze the topic. For example, a former prosecutor will likely view your content through a criminal justice perspective, where a former teacher will likely think of the direct impact on children and families. </w:t>
      </w:r>
    </w:p>
    <w:p w14:paraId="3B0FAC4A" w14:textId="57774488" w:rsidR="00875E21" w:rsidRPr="00875E21" w:rsidRDefault="00875E21" w:rsidP="002E4DC2">
      <w:pPr>
        <w:pStyle w:val="ListParagraph"/>
        <w:numPr>
          <w:ilvl w:val="0"/>
          <w:numId w:val="21"/>
        </w:numPr>
        <w:spacing w:after="0" w:line="240" w:lineRule="auto"/>
        <w:jc w:val="both"/>
        <w:rPr>
          <w:rFonts w:cstheme="minorHAnsi"/>
          <w:b/>
        </w:rPr>
      </w:pPr>
      <w:r w:rsidRPr="00875E21">
        <w:rPr>
          <w:rFonts w:cstheme="minorHAnsi"/>
          <w:b/>
        </w:rPr>
        <w:t>Embrace your own Expertise</w:t>
      </w:r>
      <w:r w:rsidRPr="00875E21">
        <w:rPr>
          <w:rFonts w:cstheme="minorHAnsi"/>
        </w:rPr>
        <w:t xml:space="preserve">: </w:t>
      </w:r>
    </w:p>
    <w:p w14:paraId="492C7771" w14:textId="73816C8A" w:rsidR="00875E21" w:rsidRPr="00875E21" w:rsidRDefault="002E4DC2" w:rsidP="00875E21">
      <w:pPr>
        <w:spacing w:after="0" w:line="240" w:lineRule="auto"/>
        <w:ind w:left="360"/>
        <w:jc w:val="both"/>
        <w:rPr>
          <w:rFonts w:cstheme="minorHAnsi"/>
        </w:rPr>
      </w:pPr>
      <w:r w:rsidRPr="00875E21">
        <w:rPr>
          <w:rFonts w:cstheme="minorHAnsi"/>
        </w:rPr>
        <w:t xml:space="preserve">Lawmakers lean on their own experience when evaluating policy, but they also recognize </w:t>
      </w:r>
    </w:p>
    <w:p w14:paraId="554203F0" w14:textId="194660A7" w:rsidR="00875E21" w:rsidRPr="00875E21" w:rsidRDefault="002E4DC2" w:rsidP="00875E21">
      <w:pPr>
        <w:spacing w:after="0" w:line="240" w:lineRule="auto"/>
        <w:jc w:val="both"/>
        <w:rPr>
          <w:rFonts w:cstheme="minorHAnsi"/>
        </w:rPr>
      </w:pPr>
      <w:r w:rsidRPr="00875E21">
        <w:rPr>
          <w:rFonts w:cstheme="minorHAnsi"/>
        </w:rPr>
        <w:t xml:space="preserve">and value experts across various fields. </w:t>
      </w:r>
      <w:r w:rsidR="00875E21" w:rsidRPr="00875E21">
        <w:rPr>
          <w:rFonts w:cstheme="minorHAnsi"/>
        </w:rPr>
        <w:t xml:space="preserve">This </w:t>
      </w:r>
      <w:r w:rsidR="00642619">
        <w:rPr>
          <w:rFonts w:cstheme="minorHAnsi"/>
        </w:rPr>
        <w:t xml:space="preserve">is a topic </w:t>
      </w:r>
      <w:r w:rsidR="00875E21" w:rsidRPr="00875E21">
        <w:rPr>
          <w:rFonts w:cstheme="minorHAnsi"/>
        </w:rPr>
        <w:t xml:space="preserve">on which few lawmakers can claim professional expertise. They know you are an expert and they want to learn from your experiences and perspective. </w:t>
      </w:r>
    </w:p>
    <w:p w14:paraId="11A60870" w14:textId="158CF731" w:rsidR="00875E21" w:rsidRPr="00875E21" w:rsidRDefault="00875E21" w:rsidP="00875E21">
      <w:pPr>
        <w:pStyle w:val="ListParagraph"/>
        <w:numPr>
          <w:ilvl w:val="0"/>
          <w:numId w:val="21"/>
        </w:numPr>
        <w:spacing w:after="0" w:line="240" w:lineRule="auto"/>
        <w:jc w:val="both"/>
        <w:rPr>
          <w:rFonts w:cstheme="minorHAnsi"/>
        </w:rPr>
      </w:pPr>
      <w:r w:rsidRPr="00875E21">
        <w:rPr>
          <w:rFonts w:cstheme="minorHAnsi"/>
          <w:b/>
        </w:rPr>
        <w:t>The questions may not always align</w:t>
      </w:r>
      <w:r w:rsidRPr="00875E21">
        <w:rPr>
          <w:rFonts w:cstheme="minorHAnsi"/>
        </w:rPr>
        <w:t>:</w:t>
      </w:r>
    </w:p>
    <w:p w14:paraId="05F7F9BB" w14:textId="77777777" w:rsidR="00875E21" w:rsidRPr="00875E21" w:rsidRDefault="00875E21" w:rsidP="00875E21">
      <w:pPr>
        <w:spacing w:after="0" w:line="240" w:lineRule="auto"/>
        <w:ind w:left="360"/>
        <w:jc w:val="both"/>
        <w:rPr>
          <w:rFonts w:cstheme="minorHAnsi"/>
        </w:rPr>
      </w:pPr>
      <w:r w:rsidRPr="00875E21">
        <w:rPr>
          <w:rFonts w:cstheme="minorHAnsi"/>
        </w:rPr>
        <w:t xml:space="preserve">Because lawmakers bring varying perspectives, their questions are often rooted in their professional </w:t>
      </w:r>
    </w:p>
    <w:p w14:paraId="6914A0EB" w14:textId="3BF6AEC0" w:rsidR="00642619" w:rsidRDefault="00875E21" w:rsidP="00875E21">
      <w:pPr>
        <w:spacing w:after="0" w:line="240" w:lineRule="auto"/>
        <w:jc w:val="both"/>
        <w:rPr>
          <w:rFonts w:cstheme="minorHAnsi"/>
        </w:rPr>
      </w:pPr>
      <w:r w:rsidRPr="00875E21">
        <w:rPr>
          <w:rFonts w:cstheme="minorHAnsi"/>
        </w:rPr>
        <w:t xml:space="preserve">experiences. They </w:t>
      </w:r>
      <w:r w:rsidR="00642619">
        <w:rPr>
          <w:rFonts w:cstheme="minorHAnsi"/>
        </w:rPr>
        <w:t>may ask about</w:t>
      </w:r>
      <w:r w:rsidRPr="00875E21">
        <w:rPr>
          <w:rFonts w:cstheme="minorHAnsi"/>
        </w:rPr>
        <w:t xml:space="preserve"> potential alternatives or additional possible solutions to problems, not to disparage the original idea, but to provide additional help. This is especially common when lawmakers have criminal justice experience. It can be helpful to say “I think that could potentially be quite helpful, I will let our partners at OAESV know and they will connect with you to follow-up.” Should a suggestion arise, please record it in your survey so that OAESV knows to reach out. </w:t>
      </w:r>
    </w:p>
    <w:p w14:paraId="3B767E5D" w14:textId="7514948F" w:rsidR="00642619" w:rsidRPr="00642619" w:rsidRDefault="00642619" w:rsidP="00642619">
      <w:pPr>
        <w:pStyle w:val="ListParagraph"/>
        <w:numPr>
          <w:ilvl w:val="0"/>
          <w:numId w:val="21"/>
        </w:numPr>
        <w:spacing w:after="0" w:line="240" w:lineRule="auto"/>
        <w:jc w:val="both"/>
        <w:rPr>
          <w:rFonts w:cstheme="minorHAnsi"/>
          <w:b/>
        </w:rPr>
      </w:pPr>
      <w:r w:rsidRPr="00642619">
        <w:rPr>
          <w:rFonts w:cstheme="minorHAnsi"/>
          <w:b/>
        </w:rPr>
        <w:t>Don’t Worry about Filling Time</w:t>
      </w:r>
    </w:p>
    <w:p w14:paraId="5B294555" w14:textId="77777777" w:rsidR="00642619" w:rsidRDefault="00642619" w:rsidP="00642619">
      <w:pPr>
        <w:spacing w:after="0" w:line="240" w:lineRule="auto"/>
        <w:ind w:left="360"/>
        <w:jc w:val="both"/>
        <w:rPr>
          <w:rFonts w:cstheme="minorHAnsi"/>
        </w:rPr>
      </w:pPr>
      <w:r>
        <w:rPr>
          <w:rFonts w:cstheme="minorHAnsi"/>
        </w:rPr>
        <w:t xml:space="preserve">With daily COVID-19 changes across the state government and staffers juggling home and work lives, </w:t>
      </w:r>
    </w:p>
    <w:p w14:paraId="476046B3" w14:textId="019ACB8E" w:rsidR="00642619" w:rsidRDefault="00642619" w:rsidP="00642619">
      <w:pPr>
        <w:spacing w:after="0" w:line="240" w:lineRule="auto"/>
        <w:jc w:val="both"/>
        <w:rPr>
          <w:rFonts w:cstheme="minorHAnsi"/>
        </w:rPr>
      </w:pPr>
      <w:r>
        <w:rPr>
          <w:rFonts w:cstheme="minorHAnsi"/>
        </w:rPr>
        <w:t>teams are very busy and will appreciate brevity.</w:t>
      </w:r>
    </w:p>
    <w:p w14:paraId="3416EBD0" w14:textId="5A42BC42" w:rsidR="00642619" w:rsidRPr="00642619" w:rsidRDefault="00642619" w:rsidP="00642619">
      <w:pPr>
        <w:pStyle w:val="ListParagraph"/>
        <w:numPr>
          <w:ilvl w:val="0"/>
          <w:numId w:val="21"/>
        </w:numPr>
        <w:spacing w:after="0" w:line="240" w:lineRule="auto"/>
        <w:jc w:val="both"/>
        <w:rPr>
          <w:rFonts w:cstheme="minorHAnsi"/>
          <w:b/>
        </w:rPr>
      </w:pPr>
      <w:r w:rsidRPr="00642619">
        <w:rPr>
          <w:rFonts w:cstheme="minorHAnsi"/>
          <w:b/>
        </w:rPr>
        <w:t xml:space="preserve">Acknowledge the </w:t>
      </w:r>
      <w:r>
        <w:rPr>
          <w:rFonts w:cstheme="minorHAnsi"/>
          <w:b/>
        </w:rPr>
        <w:t>Current Situation</w:t>
      </w:r>
    </w:p>
    <w:p w14:paraId="4D5ADF17" w14:textId="77777777" w:rsidR="001F64EE" w:rsidRDefault="00642619" w:rsidP="001F64EE">
      <w:pPr>
        <w:spacing w:after="0" w:line="240" w:lineRule="auto"/>
        <w:ind w:left="360"/>
        <w:jc w:val="both"/>
        <w:rPr>
          <w:rFonts w:cstheme="minorHAnsi"/>
        </w:rPr>
      </w:pPr>
      <w:r>
        <w:rPr>
          <w:rFonts w:cstheme="minorHAnsi"/>
        </w:rPr>
        <w:t xml:space="preserve">It is important to acknowledge that lawmakers are </w:t>
      </w:r>
      <w:r w:rsidR="001F64EE">
        <w:rPr>
          <w:rFonts w:cstheme="minorHAnsi"/>
        </w:rPr>
        <w:t>navigating the challenge of partial in-person</w:t>
      </w:r>
    </w:p>
    <w:p w14:paraId="173E0DCF" w14:textId="3C16AF96" w:rsidR="001F64EE" w:rsidRDefault="001F64EE" w:rsidP="001F64EE">
      <w:pPr>
        <w:spacing w:after="0" w:line="240" w:lineRule="auto"/>
        <w:jc w:val="both"/>
        <w:rPr>
          <w:rFonts w:cstheme="minorHAnsi"/>
        </w:rPr>
      </w:pPr>
      <w:bookmarkStart w:id="0" w:name="_GoBack"/>
      <w:bookmarkEnd w:id="0"/>
      <w:r>
        <w:rPr>
          <w:rFonts w:cstheme="minorHAnsi"/>
        </w:rPr>
        <w:t>legislating, working with vaccine distribution, continued infection increases, and other challenges as</w:t>
      </w:r>
    </w:p>
    <w:p w14:paraId="227C6657" w14:textId="3A48D5C7" w:rsidR="00642619" w:rsidRDefault="001F64EE" w:rsidP="001F64EE">
      <w:pPr>
        <w:spacing w:after="0" w:line="240" w:lineRule="auto"/>
        <w:jc w:val="both"/>
        <w:rPr>
          <w:rFonts w:cstheme="minorHAnsi"/>
        </w:rPr>
      </w:pPr>
      <w:r>
        <w:rPr>
          <w:rFonts w:cstheme="minorHAnsi"/>
        </w:rPr>
        <w:t xml:space="preserve">we round out a full year of social distancing. Unlike last year, we see light at the end of the tunnel and can anticipate life after COVID – meaning we will address many points with an eye toward the future but also want to thank them for supporting survivors and our work with COVID funding and other support during the last thirteen months. </w:t>
      </w:r>
    </w:p>
    <w:p w14:paraId="68CFA1CC" w14:textId="77777777" w:rsidR="005858EF" w:rsidRDefault="00642619" w:rsidP="005858EF">
      <w:pPr>
        <w:pStyle w:val="ListParagraph"/>
        <w:numPr>
          <w:ilvl w:val="0"/>
          <w:numId w:val="21"/>
        </w:numPr>
        <w:spacing w:after="0" w:line="240" w:lineRule="auto"/>
        <w:jc w:val="both"/>
        <w:rPr>
          <w:rFonts w:cstheme="minorHAnsi"/>
          <w:b/>
        </w:rPr>
      </w:pPr>
      <w:r w:rsidRPr="00642619">
        <w:rPr>
          <w:rFonts w:cstheme="minorHAnsi"/>
          <w:b/>
        </w:rPr>
        <w:t>Send a thank you email and follow-up if they request further information</w:t>
      </w:r>
    </w:p>
    <w:p w14:paraId="3F3F0AAC" w14:textId="52858F19" w:rsidR="00642619" w:rsidRPr="005858EF" w:rsidRDefault="005858EF" w:rsidP="005858EF">
      <w:pPr>
        <w:spacing w:after="0" w:line="240" w:lineRule="auto"/>
        <w:ind w:firstLine="360"/>
        <w:jc w:val="both"/>
        <w:rPr>
          <w:rFonts w:cstheme="minorHAnsi"/>
          <w:b/>
        </w:rPr>
      </w:pPr>
      <w:r w:rsidRPr="005858EF">
        <w:rPr>
          <w:rFonts w:cstheme="minorHAnsi"/>
        </w:rPr>
        <w:t>If</w:t>
      </w:r>
      <w:r w:rsidR="00642619" w:rsidRPr="005858EF">
        <w:rPr>
          <w:rFonts w:cstheme="minorHAnsi"/>
        </w:rPr>
        <w:t xml:space="preserve"> you need information on how to reach the aide or lawmaker you spoke with, please do not hesitate to ask OAESV for assistance. If the lawmaker asks for information, do your best to follow-up and let OAESV know if we can support you in this endeavor. </w:t>
      </w:r>
    </w:p>
    <w:p w14:paraId="7C280D87" w14:textId="279BF2F9" w:rsidR="00875E21" w:rsidRDefault="00875E21" w:rsidP="00875E21">
      <w:pPr>
        <w:spacing w:after="0" w:line="240" w:lineRule="auto"/>
        <w:jc w:val="both"/>
        <w:rPr>
          <w:rFonts w:ascii="Garamond" w:hAnsi="Garamond"/>
        </w:rPr>
      </w:pPr>
    </w:p>
    <w:p w14:paraId="24C508E9" w14:textId="77777777" w:rsidR="00875E21" w:rsidRPr="00875E21" w:rsidRDefault="00875E21" w:rsidP="00875E21">
      <w:pPr>
        <w:spacing w:after="0" w:line="240" w:lineRule="auto"/>
        <w:jc w:val="both"/>
        <w:rPr>
          <w:rFonts w:ascii="Garamond" w:hAnsi="Garamond"/>
        </w:rPr>
      </w:pPr>
    </w:p>
    <w:sectPr w:rsidR="00875E21" w:rsidRPr="00875E21" w:rsidSect="0064261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A81C" w14:textId="77777777" w:rsidR="003A1DE6" w:rsidRDefault="003A1DE6" w:rsidP="00567EEC">
      <w:pPr>
        <w:spacing w:after="0" w:line="240" w:lineRule="auto"/>
      </w:pPr>
      <w:r>
        <w:separator/>
      </w:r>
    </w:p>
  </w:endnote>
  <w:endnote w:type="continuationSeparator" w:id="0">
    <w:p w14:paraId="17C06DB2" w14:textId="77777777" w:rsidR="003A1DE6" w:rsidRDefault="003A1DE6" w:rsidP="0056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2069" w14:textId="77777777" w:rsidR="00AA5816" w:rsidRDefault="00AA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D9CE" w14:textId="4A876E15" w:rsidR="00D33B6D" w:rsidRDefault="00AA5816" w:rsidP="00AA5816">
    <w:pPr>
      <w:pStyle w:val="Footer"/>
      <w:jc w:val="center"/>
      <w:rPr>
        <w:rFonts w:ascii="Garamond" w:hAnsi="Garamond"/>
        <w:sz w:val="18"/>
        <w:szCs w:val="18"/>
      </w:rPr>
    </w:pPr>
    <w:r w:rsidRPr="00745ED5">
      <w:rPr>
        <w:rFonts w:ascii="Garamond" w:hAnsi="Garamond"/>
        <w:sz w:val="18"/>
        <w:szCs w:val="18"/>
      </w:rPr>
      <w:t xml:space="preserve">OAESV's </w:t>
    </w:r>
    <w:r>
      <w:rPr>
        <w:rFonts w:ascii="Garamond" w:hAnsi="Garamond"/>
        <w:sz w:val="18"/>
        <w:szCs w:val="18"/>
      </w:rPr>
      <w:t>Advocacy Day to End Sexual Violence and Corresponding Materials</w:t>
    </w:r>
    <w:r w:rsidRPr="00745ED5">
      <w:rPr>
        <w:rFonts w:ascii="Garamond" w:hAnsi="Garamond"/>
        <w:sz w:val="18"/>
        <w:szCs w:val="18"/>
      </w:rPr>
      <w:t xml:space="preserve"> </w:t>
    </w:r>
    <w:r>
      <w:rPr>
        <w:rFonts w:ascii="Garamond" w:hAnsi="Garamond"/>
        <w:sz w:val="18"/>
        <w:szCs w:val="18"/>
      </w:rPr>
      <w:t>are</w:t>
    </w:r>
    <w:r w:rsidRPr="00745ED5">
      <w:rPr>
        <w:rFonts w:ascii="Garamond" w:hAnsi="Garamond"/>
        <w:sz w:val="18"/>
        <w:szCs w:val="18"/>
      </w:rPr>
      <w:t xml:space="preserve"> funded by a generous grant from the George </w:t>
    </w:r>
    <w:proofErr w:type="spellStart"/>
    <w:r w:rsidRPr="00745ED5">
      <w:rPr>
        <w:rFonts w:ascii="Garamond" w:hAnsi="Garamond"/>
        <w:sz w:val="18"/>
        <w:szCs w:val="18"/>
      </w:rPr>
      <w:t>Gund</w:t>
    </w:r>
    <w:proofErr w:type="spellEnd"/>
    <w:r w:rsidRPr="00745ED5">
      <w:rPr>
        <w:rFonts w:ascii="Garamond" w:hAnsi="Garamond"/>
        <w:sz w:val="18"/>
        <w:szCs w:val="18"/>
      </w:rPr>
      <w:t xml:space="preserve"> Foundation, a private Ohio non-profit organization that has donated $722 million dollars since</w:t>
    </w:r>
    <w:r>
      <w:rPr>
        <w:rFonts w:ascii="Garamond" w:hAnsi="Garamond"/>
        <w:sz w:val="18"/>
        <w:szCs w:val="18"/>
      </w:rPr>
      <w:t xml:space="preserve"> </w:t>
    </w:r>
    <w:r w:rsidRPr="00745ED5">
      <w:rPr>
        <w:rFonts w:ascii="Garamond" w:hAnsi="Garamond"/>
        <w:sz w:val="18"/>
        <w:szCs w:val="18"/>
      </w:rPr>
      <w:t>1952 to projects that advance human welfare and society.</w:t>
    </w:r>
  </w:p>
  <w:p w14:paraId="25040A1C" w14:textId="01E65A82" w:rsidR="00AA5816" w:rsidRPr="00745ED5" w:rsidRDefault="00AA5816" w:rsidP="00AA5816">
    <w:pPr>
      <w:pStyle w:val="Footer"/>
      <w:jc w:val="center"/>
      <w:rPr>
        <w:rFonts w:ascii="Garamond" w:hAnsi="Garamond"/>
        <w:sz w:val="18"/>
        <w:szCs w:val="18"/>
      </w:rPr>
    </w:pPr>
    <w:r>
      <w:rPr>
        <w:rFonts w:ascii="Garamond" w:hAnsi="Garamond"/>
        <w:sz w:val="18"/>
        <w:szCs w:val="18"/>
      </w:rPr>
      <w:t xml:space="preserve"> </w:t>
    </w:r>
    <w:r>
      <w:rPr>
        <w:noProof/>
      </w:rPr>
      <w:drawing>
        <wp:inline distT="0" distB="0" distL="0" distR="0" wp14:anchorId="2704AA1E" wp14:editId="78FF017C">
          <wp:extent cx="1314450" cy="2692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40571" r="598" b="20572"/>
                  <a:stretch/>
                </pic:blipFill>
                <pic:spPr bwMode="auto">
                  <a:xfrm>
                    <a:off x="0" y="0"/>
                    <a:ext cx="1351798" cy="276875"/>
                  </a:xfrm>
                  <a:prstGeom prst="rect">
                    <a:avLst/>
                  </a:prstGeom>
                  <a:noFill/>
                  <a:ln>
                    <a:noFill/>
                  </a:ln>
                  <a:extLst>
                    <a:ext uri="{53640926-AAD7-44D8-BBD7-CCE9431645EC}">
                      <a14:shadowObscured xmlns:a14="http://schemas.microsoft.com/office/drawing/2010/main"/>
                    </a:ext>
                  </a:extLst>
                </pic:spPr>
              </pic:pic>
            </a:graphicData>
          </a:graphic>
        </wp:inline>
      </w:drawing>
    </w:r>
  </w:p>
  <w:p w14:paraId="192C3E94" w14:textId="429D7103" w:rsidR="00567EEC" w:rsidRDefault="00567EEC" w:rsidP="00642619">
    <w:pPr>
      <w:pStyle w:val="Footer"/>
    </w:pPr>
  </w:p>
  <w:p w14:paraId="516985F6" w14:textId="77777777" w:rsidR="00567EEC" w:rsidRDefault="00567EEC" w:rsidP="00567EEC">
    <w:pPr>
      <w:pStyle w:val="Footer"/>
      <w:tabs>
        <w:tab w:val="clear" w:pos="4680"/>
        <w:tab w:val="clear" w:pos="9360"/>
        <w:tab w:val="left" w:pos="79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A3F2" w14:textId="77777777" w:rsidR="00AA5816" w:rsidRDefault="00AA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14E9" w14:textId="77777777" w:rsidR="003A1DE6" w:rsidRDefault="003A1DE6" w:rsidP="00567EEC">
      <w:pPr>
        <w:spacing w:after="0" w:line="240" w:lineRule="auto"/>
      </w:pPr>
      <w:r>
        <w:separator/>
      </w:r>
    </w:p>
  </w:footnote>
  <w:footnote w:type="continuationSeparator" w:id="0">
    <w:p w14:paraId="50174EC6" w14:textId="77777777" w:rsidR="003A1DE6" w:rsidRDefault="003A1DE6" w:rsidP="0056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374D" w14:textId="77777777" w:rsidR="00AA5816" w:rsidRDefault="00AA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DDDB" w14:textId="77777777" w:rsidR="00AA5816" w:rsidRDefault="00AA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B741" w14:textId="77777777" w:rsidR="00AA5816" w:rsidRDefault="00AA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6193"/>
    <w:multiLevelType w:val="multilevel"/>
    <w:tmpl w:val="FC8C4B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F5DA3"/>
    <w:multiLevelType w:val="hybridMultilevel"/>
    <w:tmpl w:val="E23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10685"/>
    <w:multiLevelType w:val="hybridMultilevel"/>
    <w:tmpl w:val="7532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4BAD"/>
    <w:multiLevelType w:val="hybridMultilevel"/>
    <w:tmpl w:val="4D10C604"/>
    <w:lvl w:ilvl="0" w:tplc="934A0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31C56"/>
    <w:multiLevelType w:val="hybridMultilevel"/>
    <w:tmpl w:val="92E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80B55"/>
    <w:multiLevelType w:val="hybridMultilevel"/>
    <w:tmpl w:val="73AAE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0992"/>
    <w:multiLevelType w:val="hybridMultilevel"/>
    <w:tmpl w:val="1E8A1B1C"/>
    <w:lvl w:ilvl="0" w:tplc="76D071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B75C2"/>
    <w:multiLevelType w:val="hybridMultilevel"/>
    <w:tmpl w:val="DA6CD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26782"/>
    <w:multiLevelType w:val="hybridMultilevel"/>
    <w:tmpl w:val="425A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970"/>
    <w:multiLevelType w:val="hybridMultilevel"/>
    <w:tmpl w:val="2ED4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70ABD"/>
    <w:multiLevelType w:val="hybridMultilevel"/>
    <w:tmpl w:val="6E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587F"/>
    <w:multiLevelType w:val="hybridMultilevel"/>
    <w:tmpl w:val="7346DA34"/>
    <w:lvl w:ilvl="0" w:tplc="7D685D2C">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75BA4"/>
    <w:multiLevelType w:val="hybridMultilevel"/>
    <w:tmpl w:val="F4E2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78E0"/>
    <w:multiLevelType w:val="hybridMultilevel"/>
    <w:tmpl w:val="F044EC14"/>
    <w:lvl w:ilvl="0" w:tplc="7A5A7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426DC"/>
    <w:multiLevelType w:val="hybridMultilevel"/>
    <w:tmpl w:val="0FF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C3D74"/>
    <w:multiLevelType w:val="hybridMultilevel"/>
    <w:tmpl w:val="93AE1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108CB"/>
    <w:multiLevelType w:val="hybridMultilevel"/>
    <w:tmpl w:val="E86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E1E7A"/>
    <w:multiLevelType w:val="hybridMultilevel"/>
    <w:tmpl w:val="C8EC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2727D"/>
    <w:multiLevelType w:val="hybridMultilevel"/>
    <w:tmpl w:val="DB5624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D2C581D"/>
    <w:multiLevelType w:val="hybridMultilevel"/>
    <w:tmpl w:val="26B07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C5192"/>
    <w:multiLevelType w:val="hybridMultilevel"/>
    <w:tmpl w:val="46B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9"/>
  </w:num>
  <w:num w:numId="5">
    <w:abstractNumId w:val="1"/>
  </w:num>
  <w:num w:numId="6">
    <w:abstractNumId w:val="18"/>
  </w:num>
  <w:num w:numId="7">
    <w:abstractNumId w:val="16"/>
  </w:num>
  <w:num w:numId="8">
    <w:abstractNumId w:val="10"/>
  </w:num>
  <w:num w:numId="9">
    <w:abstractNumId w:val="14"/>
  </w:num>
  <w:num w:numId="10">
    <w:abstractNumId w:val="20"/>
  </w:num>
  <w:num w:numId="11">
    <w:abstractNumId w:val="17"/>
  </w:num>
  <w:num w:numId="12">
    <w:abstractNumId w:val="12"/>
  </w:num>
  <w:num w:numId="13">
    <w:abstractNumId w:val="2"/>
  </w:num>
  <w:num w:numId="14">
    <w:abstractNumId w:val="7"/>
  </w:num>
  <w:num w:numId="15">
    <w:abstractNumId w:val="0"/>
  </w:num>
  <w:num w:numId="16">
    <w:abstractNumId w:val="15"/>
  </w:num>
  <w:num w:numId="17">
    <w:abstractNumId w:val="5"/>
  </w:num>
  <w:num w:numId="18">
    <w:abstractNumId w:val="8"/>
  </w:num>
  <w:num w:numId="19">
    <w:abstractNumId w:val="9"/>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C8"/>
    <w:rsid w:val="0007150C"/>
    <w:rsid w:val="000E77F4"/>
    <w:rsid w:val="001600C8"/>
    <w:rsid w:val="00171B7F"/>
    <w:rsid w:val="001F64EE"/>
    <w:rsid w:val="002701C4"/>
    <w:rsid w:val="002B5715"/>
    <w:rsid w:val="002E4DC2"/>
    <w:rsid w:val="002F29C6"/>
    <w:rsid w:val="003A1655"/>
    <w:rsid w:val="003A1DE6"/>
    <w:rsid w:val="00406CB4"/>
    <w:rsid w:val="00467BA0"/>
    <w:rsid w:val="00482C74"/>
    <w:rsid w:val="00567EEC"/>
    <w:rsid w:val="00575065"/>
    <w:rsid w:val="005858EF"/>
    <w:rsid w:val="00642619"/>
    <w:rsid w:val="0067600D"/>
    <w:rsid w:val="006F1A91"/>
    <w:rsid w:val="007440F9"/>
    <w:rsid w:val="00751EEF"/>
    <w:rsid w:val="0075702F"/>
    <w:rsid w:val="00764940"/>
    <w:rsid w:val="00772EEF"/>
    <w:rsid w:val="007A409A"/>
    <w:rsid w:val="007F0971"/>
    <w:rsid w:val="008607AD"/>
    <w:rsid w:val="00875E21"/>
    <w:rsid w:val="00982EE6"/>
    <w:rsid w:val="009E1807"/>
    <w:rsid w:val="00A21EFF"/>
    <w:rsid w:val="00A63808"/>
    <w:rsid w:val="00AA5816"/>
    <w:rsid w:val="00B2067B"/>
    <w:rsid w:val="00BB377C"/>
    <w:rsid w:val="00C9311D"/>
    <w:rsid w:val="00CC6FB9"/>
    <w:rsid w:val="00D33B6D"/>
    <w:rsid w:val="00D50D7A"/>
    <w:rsid w:val="00F02478"/>
    <w:rsid w:val="00F07412"/>
    <w:rsid w:val="00F77461"/>
    <w:rsid w:val="00FC4C67"/>
    <w:rsid w:val="00FE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50C"/>
  <w15:chartTrackingRefBased/>
  <w15:docId w15:val="{B8BBFE44-B512-4448-BD30-1C2A547B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C8"/>
    <w:pPr>
      <w:ind w:left="720"/>
      <w:contextualSpacing/>
    </w:pPr>
  </w:style>
  <w:style w:type="paragraph" w:styleId="Header">
    <w:name w:val="header"/>
    <w:basedOn w:val="Normal"/>
    <w:link w:val="HeaderChar"/>
    <w:uiPriority w:val="99"/>
    <w:unhideWhenUsed/>
    <w:rsid w:val="0056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EC"/>
  </w:style>
  <w:style w:type="paragraph" w:styleId="Footer">
    <w:name w:val="footer"/>
    <w:basedOn w:val="Normal"/>
    <w:link w:val="FooterChar"/>
    <w:uiPriority w:val="99"/>
    <w:unhideWhenUsed/>
    <w:rsid w:val="0056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EC"/>
  </w:style>
  <w:style w:type="paragraph" w:customStyle="1" w:styleId="Default">
    <w:name w:val="Default"/>
    <w:rsid w:val="007440F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7600D"/>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67600D"/>
    <w:rPr>
      <w:rFonts w:eastAsiaTheme="minorEastAsia"/>
      <w:sz w:val="20"/>
      <w:szCs w:val="20"/>
      <w:lang w:eastAsia="ja-JP"/>
    </w:rPr>
  </w:style>
  <w:style w:type="character" w:styleId="FootnoteReference">
    <w:name w:val="footnote reference"/>
    <w:basedOn w:val="DefaultParagraphFont"/>
    <w:uiPriority w:val="99"/>
    <w:semiHidden/>
    <w:unhideWhenUsed/>
    <w:rsid w:val="0067600D"/>
    <w:rPr>
      <w:vertAlign w:val="superscript"/>
    </w:rPr>
  </w:style>
  <w:style w:type="character" w:styleId="Hyperlink">
    <w:name w:val="Hyperlink"/>
    <w:basedOn w:val="DefaultParagraphFont"/>
    <w:uiPriority w:val="99"/>
    <w:unhideWhenUsed/>
    <w:rsid w:val="0067600D"/>
    <w:rPr>
      <w:color w:val="0563C1" w:themeColor="hyperlink"/>
      <w:u w:val="single"/>
    </w:rPr>
  </w:style>
  <w:style w:type="paragraph" w:styleId="NormalWeb">
    <w:name w:val="Normal (Web)"/>
    <w:basedOn w:val="Normal"/>
    <w:uiPriority w:val="99"/>
    <w:unhideWhenUsed/>
    <w:rsid w:val="000E77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Crary</dc:creator>
  <cp:keywords/>
  <dc:description/>
  <cp:lastModifiedBy>Camille  Crary</cp:lastModifiedBy>
  <cp:revision>2</cp:revision>
  <cp:lastPrinted>2020-04-19T17:51:00Z</cp:lastPrinted>
  <dcterms:created xsi:type="dcterms:W3CDTF">2021-04-12T02:40:00Z</dcterms:created>
  <dcterms:modified xsi:type="dcterms:W3CDTF">2021-04-12T02:40:00Z</dcterms:modified>
</cp:coreProperties>
</file>